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A1" w:rsidRPr="00F9759D" w:rsidRDefault="00CD1AA1" w:rsidP="00CD1AA1">
      <w:pPr>
        <w:rPr>
          <w:rFonts w:asciiTheme="majorEastAsia" w:eastAsiaTheme="majorEastAsia" w:hAnsiTheme="majorEastAsia"/>
        </w:rPr>
      </w:pPr>
      <w:r w:rsidRPr="00F9759D">
        <w:rPr>
          <w:rFonts w:asciiTheme="majorEastAsia" w:eastAsiaTheme="majorEastAsia" w:hAnsiTheme="majorEastAsia" w:hint="eastAsia"/>
        </w:rPr>
        <w:t>危险废物产生单位信息公开</w:t>
      </w:r>
    </w:p>
    <w:p w:rsidR="00CD1AA1" w:rsidRPr="00F9759D" w:rsidRDefault="00CD1AA1" w:rsidP="00CD1AA1">
      <w:pPr>
        <w:rPr>
          <w:rFonts w:asciiTheme="majorEastAsia" w:eastAsiaTheme="majorEastAsia" w:hAnsiTheme="majorEastAsia"/>
        </w:rPr>
      </w:pPr>
      <w:r w:rsidRPr="00F9759D">
        <w:rPr>
          <w:rFonts w:asciiTheme="majorEastAsia" w:eastAsiaTheme="majorEastAsia" w:hAnsiTheme="majorEastAsia" w:hint="eastAsia"/>
        </w:rPr>
        <w:t>危险废物产生规模：10吨（含）—100吨（含）</w:t>
      </w:r>
    </w:p>
    <w:p w:rsidR="00CD1AA1" w:rsidRPr="00F9759D" w:rsidRDefault="00CD1AA1" w:rsidP="00CD1AA1">
      <w:pPr>
        <w:rPr>
          <w:rFonts w:asciiTheme="majorEastAsia" w:eastAsiaTheme="majorEastAsia" w:hAnsiTheme="majorEastAsia"/>
        </w:rPr>
      </w:pPr>
      <w:r w:rsidRPr="00F9759D">
        <w:rPr>
          <w:rFonts w:asciiTheme="majorEastAsia" w:eastAsiaTheme="majorEastAsia" w:hAnsiTheme="majorEastAsia" w:hint="eastAsia"/>
        </w:rPr>
        <w:t>危险废物贮存设施数量：仓库2处，储罐2处</w:t>
      </w:r>
    </w:p>
    <w:p w:rsidR="00CD1AA1" w:rsidRPr="00F9759D" w:rsidRDefault="00CD1AA1" w:rsidP="00CD1AA1">
      <w:pPr>
        <w:rPr>
          <w:rFonts w:asciiTheme="majorEastAsia" w:eastAsiaTheme="majorEastAsia" w:hAnsiTheme="majorEastAsia"/>
        </w:rPr>
      </w:pPr>
      <w:r w:rsidRPr="00F9759D">
        <w:rPr>
          <w:rFonts w:asciiTheme="majorEastAsia" w:eastAsiaTheme="majorEastAsia" w:hAnsiTheme="majorEastAsia" w:hint="eastAsia"/>
        </w:rPr>
        <w:t>危险废物贮存设施建筑面积（容积）：</w:t>
      </w:r>
    </w:p>
    <w:p w:rsidR="00CD1AA1" w:rsidRPr="00F9759D" w:rsidRDefault="00CD1AA1" w:rsidP="00CD1AA1">
      <w:pPr>
        <w:rPr>
          <w:rFonts w:asciiTheme="majorEastAsia" w:eastAsiaTheme="majorEastAsia" w:hAnsiTheme="majorEastAsia"/>
        </w:rPr>
      </w:pPr>
      <w:r w:rsidRPr="00F9759D">
        <w:rPr>
          <w:rFonts w:asciiTheme="majorEastAsia" w:eastAsiaTheme="majorEastAsia" w:hAnsiTheme="majorEastAsia" w:hint="eastAsia"/>
        </w:rPr>
        <w:t>仓库111.6平方米，储罐10000升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704"/>
        <w:gridCol w:w="1704"/>
        <w:gridCol w:w="1705"/>
        <w:gridCol w:w="3642"/>
      </w:tblGrid>
      <w:tr w:rsidR="00CD1AA1" w:rsidRPr="00F9759D" w:rsidTr="00CD1AA1">
        <w:tc>
          <w:tcPr>
            <w:tcW w:w="1704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/>
              </w:rPr>
              <w:br w:type="page"/>
            </w: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危废名称</w:t>
            </w:r>
          </w:p>
        </w:tc>
        <w:tc>
          <w:tcPr>
            <w:tcW w:w="1704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危废代码</w:t>
            </w:r>
          </w:p>
        </w:tc>
        <w:tc>
          <w:tcPr>
            <w:tcW w:w="1705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产生来源</w:t>
            </w:r>
          </w:p>
        </w:tc>
        <w:tc>
          <w:tcPr>
            <w:tcW w:w="3642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污染防治措施</w:t>
            </w:r>
          </w:p>
        </w:tc>
      </w:tr>
      <w:tr w:rsidR="00CD1AA1" w:rsidRPr="00F9759D" w:rsidTr="00CD1AA1">
        <w:tc>
          <w:tcPr>
            <w:tcW w:w="1704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废矿物油</w:t>
            </w:r>
          </w:p>
        </w:tc>
        <w:tc>
          <w:tcPr>
            <w:tcW w:w="1704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900-249-08</w:t>
            </w:r>
          </w:p>
        </w:tc>
        <w:tc>
          <w:tcPr>
            <w:tcW w:w="1705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设备维修更换机油</w:t>
            </w:r>
          </w:p>
        </w:tc>
        <w:tc>
          <w:tcPr>
            <w:tcW w:w="3642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防风、防雨、防晒、防雷、防扬散、防流失、防渗漏、泄漏液体收集</w:t>
            </w:r>
          </w:p>
        </w:tc>
      </w:tr>
      <w:tr w:rsidR="00CD1AA1" w:rsidRPr="00F9759D" w:rsidTr="00CD1AA1">
        <w:tc>
          <w:tcPr>
            <w:tcW w:w="1704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废离子交换树脂</w:t>
            </w:r>
          </w:p>
        </w:tc>
        <w:tc>
          <w:tcPr>
            <w:tcW w:w="1704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900-015-13</w:t>
            </w:r>
          </w:p>
        </w:tc>
        <w:tc>
          <w:tcPr>
            <w:tcW w:w="1705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软水净化效果不佳，更换离子交换树脂</w:t>
            </w:r>
          </w:p>
        </w:tc>
        <w:tc>
          <w:tcPr>
            <w:tcW w:w="3642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防风、防雨、防晒、防雷、防扬散、防流失、防渗漏、泄漏液体收集</w:t>
            </w:r>
          </w:p>
        </w:tc>
      </w:tr>
      <w:tr w:rsidR="00CD1AA1" w:rsidRPr="00F9759D" w:rsidTr="00CD1AA1">
        <w:tc>
          <w:tcPr>
            <w:tcW w:w="1704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树枝状粘稠杂物</w:t>
            </w:r>
          </w:p>
        </w:tc>
        <w:tc>
          <w:tcPr>
            <w:tcW w:w="1704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900-016-13</w:t>
            </w:r>
          </w:p>
        </w:tc>
        <w:tc>
          <w:tcPr>
            <w:tcW w:w="1705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使用酸、碱或有机溶剂清洗容器设备剥离下的废物</w:t>
            </w:r>
          </w:p>
        </w:tc>
        <w:tc>
          <w:tcPr>
            <w:tcW w:w="3642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防风、防雨、防晒、防雷、防扬散、防流失、防渗漏、泄漏液体收集</w:t>
            </w:r>
          </w:p>
        </w:tc>
      </w:tr>
      <w:tr w:rsidR="00CD1AA1" w:rsidRPr="00F9759D" w:rsidTr="00CD1AA1">
        <w:tc>
          <w:tcPr>
            <w:tcW w:w="1704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废含汞灯管</w:t>
            </w:r>
          </w:p>
        </w:tc>
        <w:tc>
          <w:tcPr>
            <w:tcW w:w="1704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900-023-29</w:t>
            </w:r>
          </w:p>
        </w:tc>
        <w:tc>
          <w:tcPr>
            <w:tcW w:w="1705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更换的废灯管</w:t>
            </w:r>
          </w:p>
        </w:tc>
        <w:tc>
          <w:tcPr>
            <w:tcW w:w="3642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防风、防雨、防晒、防雷、防扬散、防流失、防渗漏、泄漏液体收集</w:t>
            </w:r>
          </w:p>
        </w:tc>
      </w:tr>
      <w:tr w:rsidR="00CD1AA1" w:rsidRPr="00F9759D" w:rsidTr="00CD1AA1">
        <w:tc>
          <w:tcPr>
            <w:tcW w:w="1704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发烟硫酸</w:t>
            </w:r>
          </w:p>
        </w:tc>
        <w:tc>
          <w:tcPr>
            <w:tcW w:w="1704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900-349-34</w:t>
            </w:r>
          </w:p>
        </w:tc>
        <w:tc>
          <w:tcPr>
            <w:tcW w:w="1705" w:type="dxa"/>
          </w:tcPr>
          <w:p w:rsidR="00CD1AA1" w:rsidRPr="00F9759D" w:rsidRDefault="00CD1AA1" w:rsidP="00DB7E13">
            <w:pPr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磺化装置工艺产生</w:t>
            </w:r>
          </w:p>
        </w:tc>
        <w:tc>
          <w:tcPr>
            <w:tcW w:w="3642" w:type="dxa"/>
          </w:tcPr>
          <w:p w:rsidR="00CD1AA1" w:rsidRPr="00F9759D" w:rsidRDefault="00CD1AA1" w:rsidP="00DB7E13">
            <w:pPr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防雨、防雷、防扬散、防流失、防渗漏、泄漏液体收集</w:t>
            </w:r>
          </w:p>
        </w:tc>
      </w:tr>
      <w:tr w:rsidR="00CD1AA1" w:rsidRPr="00F9759D" w:rsidTr="00CD1AA1">
        <w:tc>
          <w:tcPr>
            <w:tcW w:w="1704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废油漆桶</w:t>
            </w:r>
          </w:p>
        </w:tc>
        <w:tc>
          <w:tcPr>
            <w:tcW w:w="1704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900-041-49</w:t>
            </w:r>
          </w:p>
        </w:tc>
        <w:tc>
          <w:tcPr>
            <w:tcW w:w="1705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刷漆产生的废桶</w:t>
            </w:r>
          </w:p>
        </w:tc>
        <w:tc>
          <w:tcPr>
            <w:tcW w:w="3642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防风、防雨、防晒、防雷、防扬散、防流失、防渗漏、泄漏液体收集</w:t>
            </w:r>
          </w:p>
        </w:tc>
      </w:tr>
      <w:tr w:rsidR="00CD1AA1" w:rsidRPr="00F9759D" w:rsidTr="00CD1AA1">
        <w:tc>
          <w:tcPr>
            <w:tcW w:w="1704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废硒鼓墨盒</w:t>
            </w:r>
          </w:p>
        </w:tc>
        <w:tc>
          <w:tcPr>
            <w:tcW w:w="1704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900-041-49</w:t>
            </w:r>
          </w:p>
        </w:tc>
        <w:tc>
          <w:tcPr>
            <w:tcW w:w="1705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打印</w:t>
            </w:r>
          </w:p>
        </w:tc>
        <w:tc>
          <w:tcPr>
            <w:tcW w:w="3642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防风、防雨、防晒、防雷、防扬散、防流失、防渗漏、泄漏液体收集</w:t>
            </w:r>
          </w:p>
        </w:tc>
      </w:tr>
      <w:tr w:rsidR="00CD1AA1" w:rsidRPr="00F9759D" w:rsidTr="00CD1AA1">
        <w:tc>
          <w:tcPr>
            <w:tcW w:w="1704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lastRenderedPageBreak/>
              <w:t>废铅酸电池</w:t>
            </w:r>
          </w:p>
        </w:tc>
        <w:tc>
          <w:tcPr>
            <w:tcW w:w="1704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900-044-49</w:t>
            </w:r>
          </w:p>
        </w:tc>
        <w:tc>
          <w:tcPr>
            <w:tcW w:w="1705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叉车更换的废电池</w:t>
            </w:r>
          </w:p>
        </w:tc>
        <w:tc>
          <w:tcPr>
            <w:tcW w:w="3642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防风、防雨、防晒、防雷、防扬散、防流失、防渗漏、泄漏液体收集</w:t>
            </w:r>
          </w:p>
        </w:tc>
      </w:tr>
      <w:tr w:rsidR="00CD1AA1" w:rsidRPr="00F9759D" w:rsidTr="00CD1AA1">
        <w:tc>
          <w:tcPr>
            <w:tcW w:w="1704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废试剂瓶</w:t>
            </w:r>
          </w:p>
        </w:tc>
        <w:tc>
          <w:tcPr>
            <w:tcW w:w="1704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900-047-49</w:t>
            </w:r>
          </w:p>
        </w:tc>
        <w:tc>
          <w:tcPr>
            <w:tcW w:w="1705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生产分析过程产生的空化学试剂瓶</w:t>
            </w:r>
          </w:p>
        </w:tc>
        <w:tc>
          <w:tcPr>
            <w:tcW w:w="3642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防风、防雨、防晒、防雷、防扬散、防流失、防渗漏、泄漏液体收集</w:t>
            </w:r>
          </w:p>
        </w:tc>
      </w:tr>
      <w:tr w:rsidR="00CD1AA1" w:rsidRPr="00F9759D" w:rsidTr="00CD1AA1">
        <w:tc>
          <w:tcPr>
            <w:tcW w:w="1704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废催化剂</w:t>
            </w:r>
          </w:p>
        </w:tc>
        <w:tc>
          <w:tcPr>
            <w:tcW w:w="1704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261-173-50</w:t>
            </w:r>
          </w:p>
        </w:tc>
        <w:tc>
          <w:tcPr>
            <w:tcW w:w="1705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磺化装置催化剂更换</w:t>
            </w:r>
          </w:p>
        </w:tc>
        <w:tc>
          <w:tcPr>
            <w:tcW w:w="3642" w:type="dxa"/>
          </w:tcPr>
          <w:p w:rsidR="00CD1AA1" w:rsidRPr="00F9759D" w:rsidRDefault="00CD1AA1" w:rsidP="00DB7E13">
            <w:pPr>
              <w:ind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759D">
              <w:rPr>
                <w:rFonts w:asciiTheme="majorEastAsia" w:eastAsiaTheme="majorEastAsia" w:hAnsiTheme="majorEastAsia" w:hint="eastAsia"/>
                <w:sz w:val="21"/>
                <w:szCs w:val="21"/>
              </w:rPr>
              <w:t>防风、防雨、防晒、防雷、防扬散、防流失、防渗漏、泄漏液体收集</w:t>
            </w:r>
          </w:p>
        </w:tc>
      </w:tr>
    </w:tbl>
    <w:p w:rsidR="00CD1AA1" w:rsidRPr="00F9759D" w:rsidRDefault="00CD1AA1" w:rsidP="00CD1AA1">
      <w:pPr>
        <w:rPr>
          <w:rFonts w:asciiTheme="majorEastAsia" w:eastAsiaTheme="majorEastAsia" w:hAnsiTheme="majorEastAsia"/>
        </w:rPr>
      </w:pPr>
    </w:p>
    <w:p w:rsidR="00CD1AA1" w:rsidRPr="00F9759D" w:rsidRDefault="00CD1AA1" w:rsidP="00CD1AA1">
      <w:pPr>
        <w:ind w:firstLine="0"/>
        <w:rPr>
          <w:rFonts w:asciiTheme="majorEastAsia" w:eastAsiaTheme="majorEastAsia" w:hAnsiTheme="majorEastAsia"/>
          <w:color w:val="FF0000"/>
        </w:rPr>
      </w:pPr>
      <w:r w:rsidRPr="00F9759D">
        <w:rPr>
          <w:rFonts w:asciiTheme="majorEastAsia" w:eastAsiaTheme="majorEastAsia" w:hAnsiTheme="majorEastAsia" w:hint="eastAsia"/>
        </w:rPr>
        <w:t>2019年危废应急演练情况</w:t>
      </w:r>
    </w:p>
    <w:p w:rsidR="00CD1AA1" w:rsidRDefault="00AC1470" w:rsidP="00CD1AA1">
      <w:pPr>
        <w:ind w:firstLine="0"/>
      </w:pPr>
      <w:r>
        <w:rPr>
          <w:noProof/>
          <w:snapToGrid/>
        </w:rPr>
        <w:drawing>
          <wp:inline distT="0" distB="0" distL="0" distR="0">
            <wp:extent cx="5267325" cy="3952875"/>
            <wp:effectExtent l="19050" t="0" r="9525" b="0"/>
            <wp:docPr id="1" name="图片 1" descr="C:\Users\user\Desktop\危废\新建文件夹\e0fb6b207ef3bb05e4bb4386ac80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危废\新建文件夹\e0fb6b207ef3bb05e4bb4386ac80bc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</w:rPr>
        <w:lastRenderedPageBreak/>
        <w:drawing>
          <wp:inline distT="0" distB="0" distL="0" distR="0">
            <wp:extent cx="5267325" cy="3952875"/>
            <wp:effectExtent l="19050" t="0" r="9525" b="0"/>
            <wp:docPr id="2" name="图片 2" descr="C:\Users\user\Desktop\危废\新建文件夹\9793ac1f4dfe73dbfaf3af01f5ae7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危废\新建文件夹\9793ac1f4dfe73dbfaf3af01f5ae7e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</w:rPr>
        <w:drawing>
          <wp:inline distT="0" distB="0" distL="0" distR="0">
            <wp:extent cx="5267325" cy="3952875"/>
            <wp:effectExtent l="19050" t="0" r="9525" b="0"/>
            <wp:docPr id="3" name="图片 3" descr="C:\Users\user\Desktop\危废\新建文件夹\650157b3d9873bc059a7aef52b7c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危废\新建文件夹\650157b3d9873bc059a7aef52b7c0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470" w:rsidRDefault="00AC1470" w:rsidP="00CD1AA1">
      <w:pPr>
        <w:ind w:firstLine="0"/>
      </w:pPr>
    </w:p>
    <w:p w:rsidR="00AC1470" w:rsidRDefault="00AC1470" w:rsidP="00CD1AA1">
      <w:pPr>
        <w:ind w:firstLine="0"/>
      </w:pPr>
    </w:p>
    <w:p w:rsidR="00AC1470" w:rsidRPr="00F9759D" w:rsidRDefault="00AC1470" w:rsidP="00CD1AA1">
      <w:pPr>
        <w:ind w:firstLine="0"/>
        <w:rPr>
          <w:rFonts w:asciiTheme="majorEastAsia" w:eastAsiaTheme="majorEastAsia" w:hAnsiTheme="majorEastAsia"/>
        </w:rPr>
      </w:pPr>
      <w:r w:rsidRPr="00F9759D">
        <w:rPr>
          <w:rFonts w:asciiTheme="majorEastAsia" w:eastAsiaTheme="majorEastAsia" w:hAnsiTheme="majorEastAsia" w:hint="eastAsia"/>
        </w:rPr>
        <w:lastRenderedPageBreak/>
        <w:t>2019年危废计划产生量</w:t>
      </w:r>
      <w:bookmarkStart w:id="0" w:name="_GoBack"/>
      <w:bookmarkEnd w:id="0"/>
    </w:p>
    <w:p w:rsidR="00AC1470" w:rsidRPr="00CD1AA1" w:rsidRDefault="00AC1470" w:rsidP="00CD1AA1">
      <w:pPr>
        <w:ind w:firstLine="0"/>
      </w:pPr>
      <w:r>
        <w:rPr>
          <w:noProof/>
          <w:snapToGrid/>
        </w:rPr>
        <w:drawing>
          <wp:inline distT="0" distB="0" distL="0" distR="0">
            <wp:extent cx="5274310" cy="288164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470" w:rsidRPr="00CD1AA1" w:rsidSect="00FE1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98" w:rsidRDefault="00CE7998" w:rsidP="00CD1AA1">
      <w:pPr>
        <w:spacing w:line="240" w:lineRule="auto"/>
      </w:pPr>
      <w:r>
        <w:separator/>
      </w:r>
    </w:p>
  </w:endnote>
  <w:endnote w:type="continuationSeparator" w:id="0">
    <w:p w:rsidR="00CE7998" w:rsidRDefault="00CE7998" w:rsidP="00CD1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HAKUYOCaoShu3500"/>
    <w:charset w:val="86"/>
    <w:family w:val="script"/>
    <w:pitch w:val="fixed"/>
    <w:sig w:usb0="00000000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98" w:rsidRDefault="00CE7998" w:rsidP="00CD1AA1">
      <w:pPr>
        <w:spacing w:line="240" w:lineRule="auto"/>
      </w:pPr>
      <w:r>
        <w:separator/>
      </w:r>
    </w:p>
  </w:footnote>
  <w:footnote w:type="continuationSeparator" w:id="0">
    <w:p w:rsidR="00CE7998" w:rsidRDefault="00CE7998" w:rsidP="00CD1A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1AA1"/>
    <w:rsid w:val="00200DF0"/>
    <w:rsid w:val="00AC1470"/>
    <w:rsid w:val="00CD1AA1"/>
    <w:rsid w:val="00CE7998"/>
    <w:rsid w:val="00F9759D"/>
    <w:rsid w:val="00FB20EF"/>
    <w:rsid w:val="00F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A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1AA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1A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1AA1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1AA1"/>
    <w:rPr>
      <w:sz w:val="18"/>
      <w:szCs w:val="18"/>
    </w:rPr>
  </w:style>
  <w:style w:type="table" w:styleId="a5">
    <w:name w:val="Table Grid"/>
    <w:basedOn w:val="a1"/>
    <w:uiPriority w:val="59"/>
    <w:rsid w:val="00CD1A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C147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C1470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xb21cn</cp:lastModifiedBy>
  <cp:revision>5</cp:revision>
  <dcterms:created xsi:type="dcterms:W3CDTF">2019-10-23T11:34:00Z</dcterms:created>
  <dcterms:modified xsi:type="dcterms:W3CDTF">2019-10-24T06:07:00Z</dcterms:modified>
</cp:coreProperties>
</file>